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0FC7" w:rsidRPr="00E83E53" w:rsidRDefault="003E5EF8" w:rsidP="001C0FC7">
      <w:pPr>
        <w:pStyle w:val="ListParagraph"/>
        <w:numPr>
          <w:ilvl w:val="0"/>
          <w:numId w:val="1"/>
        </w:numPr>
        <w:rPr>
          <w:sz w:val="20"/>
          <w:szCs w:val="20"/>
        </w:rPr>
      </w:pPr>
      <w:r w:rsidRPr="00E83E53">
        <w:rPr>
          <w:sz w:val="20"/>
          <w:szCs w:val="20"/>
        </w:rPr>
        <w:t>What is it</w:t>
      </w:r>
      <w:r w:rsidR="003359CB">
        <w:rPr>
          <w:sz w:val="20"/>
          <w:szCs w:val="20"/>
        </w:rPr>
        <w:t>?</w:t>
      </w:r>
      <w:bookmarkStart w:id="0" w:name="_GoBack"/>
      <w:bookmarkEnd w:id="0"/>
    </w:p>
    <w:p w:rsidR="003E5EF8" w:rsidRPr="00E83E53" w:rsidRDefault="001C0FC7" w:rsidP="001C0FC7">
      <w:pPr>
        <w:pStyle w:val="ListParagraph"/>
        <w:numPr>
          <w:ilvl w:val="1"/>
          <w:numId w:val="1"/>
        </w:numPr>
        <w:rPr>
          <w:i/>
          <w:sz w:val="20"/>
          <w:szCs w:val="20"/>
        </w:rPr>
      </w:pPr>
      <w:r w:rsidRPr="00E83E53">
        <w:rPr>
          <w:sz w:val="20"/>
          <w:szCs w:val="20"/>
        </w:rPr>
        <w:t>As defined by the Partnership for 21</w:t>
      </w:r>
      <w:r w:rsidRPr="00E83E53">
        <w:rPr>
          <w:sz w:val="20"/>
          <w:szCs w:val="20"/>
          <w:vertAlign w:val="superscript"/>
        </w:rPr>
        <w:t>st</w:t>
      </w:r>
      <w:r w:rsidRPr="00E83E53">
        <w:rPr>
          <w:sz w:val="20"/>
          <w:szCs w:val="20"/>
        </w:rPr>
        <w:t xml:space="preserve"> Century Skills:  </w:t>
      </w:r>
      <w:r w:rsidRPr="00E83E53">
        <w:rPr>
          <w:i/>
          <w:sz w:val="20"/>
          <w:szCs w:val="20"/>
        </w:rPr>
        <w:t xml:space="preserve"> the skills, knowledge and expertise students must master to succeed in work and life; it is a blend of content knowledge, specific skills, expertise and literacie</w:t>
      </w:r>
      <w:r w:rsidR="00836967" w:rsidRPr="00E83E53">
        <w:rPr>
          <w:i/>
          <w:sz w:val="20"/>
          <w:szCs w:val="20"/>
        </w:rPr>
        <w:t>s</w:t>
      </w:r>
      <w:r w:rsidR="00EF6B7B" w:rsidRPr="00E83E53">
        <w:rPr>
          <w:i/>
          <w:sz w:val="20"/>
          <w:szCs w:val="20"/>
        </w:rPr>
        <w:t xml:space="preserve"> </w:t>
      </w:r>
      <w:r w:rsidR="00EF6B7B" w:rsidRPr="00E83E53">
        <w:rPr>
          <w:sz w:val="20"/>
          <w:szCs w:val="20"/>
        </w:rPr>
        <w:t>(Partnership for 21</w:t>
      </w:r>
      <w:r w:rsidR="00EF6B7B" w:rsidRPr="00E83E53">
        <w:rPr>
          <w:sz w:val="20"/>
          <w:szCs w:val="20"/>
          <w:vertAlign w:val="superscript"/>
        </w:rPr>
        <w:t>st</w:t>
      </w:r>
      <w:r w:rsidR="00EF6B7B" w:rsidRPr="00E83E53">
        <w:rPr>
          <w:sz w:val="20"/>
          <w:szCs w:val="20"/>
        </w:rPr>
        <w:t xml:space="preserve"> Century Skills, 2011)</w:t>
      </w:r>
      <w:r w:rsidR="00836967" w:rsidRPr="00E83E53">
        <w:rPr>
          <w:sz w:val="20"/>
          <w:szCs w:val="20"/>
        </w:rPr>
        <w:t>.</w:t>
      </w:r>
    </w:p>
    <w:p w:rsidR="001C0FC7" w:rsidRPr="00E83E53" w:rsidRDefault="00CD5B4B" w:rsidP="001C0FC7">
      <w:pPr>
        <w:pStyle w:val="ListParagraph"/>
        <w:numPr>
          <w:ilvl w:val="1"/>
          <w:numId w:val="1"/>
        </w:numPr>
        <w:rPr>
          <w:sz w:val="20"/>
          <w:szCs w:val="20"/>
        </w:rPr>
      </w:pPr>
      <w:r w:rsidRPr="00E83E53">
        <w:rPr>
          <w:sz w:val="20"/>
          <w:szCs w:val="20"/>
        </w:rPr>
        <w:t xml:space="preserve">Looks like:  students developing an understanding of the essential skills and information to develop </w:t>
      </w:r>
      <w:proofErr w:type="gramStart"/>
      <w:r w:rsidRPr="00E83E53">
        <w:rPr>
          <w:sz w:val="20"/>
          <w:szCs w:val="20"/>
        </w:rPr>
        <w:t>a certain</w:t>
      </w:r>
      <w:proofErr w:type="gramEnd"/>
      <w:r w:rsidRPr="00E83E53">
        <w:rPr>
          <w:sz w:val="20"/>
          <w:szCs w:val="20"/>
        </w:rPr>
        <w:t xml:space="preserve"> ability to the point of innovation and to be able to apply that ability to the rapidly changing 21</w:t>
      </w:r>
      <w:r w:rsidRPr="00E83E53">
        <w:rPr>
          <w:sz w:val="20"/>
          <w:szCs w:val="20"/>
          <w:vertAlign w:val="superscript"/>
        </w:rPr>
        <w:t>st</w:t>
      </w:r>
      <w:r w:rsidRPr="00E83E53">
        <w:rPr>
          <w:sz w:val="20"/>
          <w:szCs w:val="20"/>
        </w:rPr>
        <w:t xml:space="preserve"> Century world.</w:t>
      </w:r>
    </w:p>
    <w:p w:rsidR="001C0FC7" w:rsidRPr="00E83E53" w:rsidRDefault="001C0FC7" w:rsidP="001C0FC7">
      <w:pPr>
        <w:pStyle w:val="ListParagraph"/>
        <w:numPr>
          <w:ilvl w:val="1"/>
          <w:numId w:val="1"/>
        </w:numPr>
        <w:rPr>
          <w:rFonts w:cstheme="minorHAnsi"/>
          <w:i/>
          <w:sz w:val="20"/>
          <w:szCs w:val="20"/>
        </w:rPr>
      </w:pPr>
      <w:r w:rsidRPr="00E83E53">
        <w:rPr>
          <w:rFonts w:cstheme="minorHAnsi"/>
          <w:i/>
          <w:sz w:val="20"/>
          <w:szCs w:val="20"/>
        </w:rPr>
        <w:t>Communications in today’s interconnected world increasingly emphasize multimedia, and the arts are the media. For personal as well as professional success, students must therefore learn to critically interpret media messages, and to convey their own ideas through the medium of artistic form</w:t>
      </w:r>
      <w:r w:rsidR="00836967" w:rsidRPr="00E83E53">
        <w:rPr>
          <w:rFonts w:cstheme="minorHAnsi"/>
          <w:i/>
          <w:sz w:val="20"/>
          <w:szCs w:val="20"/>
        </w:rPr>
        <w:t xml:space="preserve"> </w:t>
      </w:r>
      <w:r w:rsidR="00836967" w:rsidRPr="00E83E53">
        <w:rPr>
          <w:rFonts w:cstheme="minorHAnsi"/>
          <w:sz w:val="20"/>
          <w:szCs w:val="20"/>
        </w:rPr>
        <w:t>(Dean et al., 2010).</w:t>
      </w:r>
    </w:p>
    <w:p w:rsidR="00B87C97" w:rsidRPr="00E83E53" w:rsidRDefault="00B87C97" w:rsidP="00B87C97">
      <w:pPr>
        <w:pStyle w:val="ListParagraph"/>
        <w:numPr>
          <w:ilvl w:val="0"/>
          <w:numId w:val="1"/>
        </w:numPr>
        <w:rPr>
          <w:sz w:val="20"/>
          <w:szCs w:val="20"/>
        </w:rPr>
      </w:pPr>
      <w:r w:rsidRPr="00E83E53">
        <w:rPr>
          <w:sz w:val="20"/>
          <w:szCs w:val="20"/>
        </w:rPr>
        <w:t xml:space="preserve">Characteristics  </w:t>
      </w:r>
    </w:p>
    <w:p w:rsidR="00B87C97" w:rsidRPr="00E83E53" w:rsidRDefault="00B87C97" w:rsidP="00B87C97">
      <w:pPr>
        <w:pStyle w:val="ListParagraph"/>
        <w:numPr>
          <w:ilvl w:val="1"/>
          <w:numId w:val="1"/>
        </w:numPr>
        <w:rPr>
          <w:sz w:val="20"/>
          <w:szCs w:val="20"/>
        </w:rPr>
      </w:pPr>
      <w:r w:rsidRPr="00E83E53">
        <w:rPr>
          <w:sz w:val="20"/>
          <w:szCs w:val="20"/>
        </w:rPr>
        <w:t>The Four Arts</w:t>
      </w:r>
      <w:r w:rsidR="003359CB">
        <w:rPr>
          <w:sz w:val="20"/>
          <w:szCs w:val="20"/>
        </w:rPr>
        <w:t xml:space="preserve">  </w:t>
      </w:r>
      <w:r w:rsidR="003359CB" w:rsidRPr="00E83E53">
        <w:rPr>
          <w:rFonts w:cstheme="minorHAnsi"/>
          <w:sz w:val="20"/>
          <w:szCs w:val="20"/>
        </w:rPr>
        <w:t>(Dean et al., 2010)</w:t>
      </w:r>
    </w:p>
    <w:p w:rsidR="00B87C97" w:rsidRPr="00E83E53" w:rsidRDefault="00B87C97" w:rsidP="00B87C97">
      <w:pPr>
        <w:pStyle w:val="ListParagraph"/>
        <w:numPr>
          <w:ilvl w:val="2"/>
          <w:numId w:val="1"/>
        </w:numPr>
        <w:rPr>
          <w:sz w:val="20"/>
          <w:szCs w:val="20"/>
        </w:rPr>
      </w:pPr>
      <w:r w:rsidRPr="00E83E53">
        <w:rPr>
          <w:sz w:val="20"/>
          <w:szCs w:val="20"/>
        </w:rPr>
        <w:t>Visual Arts</w:t>
      </w:r>
    </w:p>
    <w:p w:rsidR="00B87C97" w:rsidRPr="00E83E53" w:rsidRDefault="00B87C97" w:rsidP="00B87C97">
      <w:pPr>
        <w:pStyle w:val="ListParagraph"/>
        <w:numPr>
          <w:ilvl w:val="2"/>
          <w:numId w:val="1"/>
        </w:numPr>
        <w:rPr>
          <w:sz w:val="20"/>
          <w:szCs w:val="20"/>
        </w:rPr>
      </w:pPr>
      <w:r w:rsidRPr="00E83E53">
        <w:rPr>
          <w:sz w:val="20"/>
          <w:szCs w:val="20"/>
        </w:rPr>
        <w:t>Music</w:t>
      </w:r>
    </w:p>
    <w:p w:rsidR="00B87C97" w:rsidRPr="00E83E53" w:rsidRDefault="00B87C97" w:rsidP="00B87C97">
      <w:pPr>
        <w:pStyle w:val="ListParagraph"/>
        <w:numPr>
          <w:ilvl w:val="2"/>
          <w:numId w:val="1"/>
        </w:numPr>
        <w:rPr>
          <w:sz w:val="20"/>
          <w:szCs w:val="20"/>
        </w:rPr>
      </w:pPr>
      <w:r w:rsidRPr="00E83E53">
        <w:rPr>
          <w:sz w:val="20"/>
          <w:szCs w:val="20"/>
        </w:rPr>
        <w:t>Theatre</w:t>
      </w:r>
    </w:p>
    <w:p w:rsidR="00B87C97" w:rsidRPr="00E83E53" w:rsidRDefault="00B87C97" w:rsidP="00B87C97">
      <w:pPr>
        <w:pStyle w:val="ListParagraph"/>
        <w:numPr>
          <w:ilvl w:val="2"/>
          <w:numId w:val="1"/>
        </w:numPr>
        <w:rPr>
          <w:sz w:val="20"/>
          <w:szCs w:val="20"/>
        </w:rPr>
      </w:pPr>
      <w:r w:rsidRPr="00E83E53">
        <w:rPr>
          <w:sz w:val="20"/>
          <w:szCs w:val="20"/>
        </w:rPr>
        <w:t>Dance</w:t>
      </w:r>
    </w:p>
    <w:p w:rsidR="00B87C97" w:rsidRPr="00E83E53" w:rsidRDefault="00B87C97" w:rsidP="00B87C97">
      <w:pPr>
        <w:pStyle w:val="ListParagraph"/>
        <w:numPr>
          <w:ilvl w:val="1"/>
          <w:numId w:val="1"/>
        </w:numPr>
        <w:rPr>
          <w:sz w:val="20"/>
          <w:szCs w:val="20"/>
        </w:rPr>
      </w:pPr>
      <w:r w:rsidRPr="00E83E53">
        <w:rPr>
          <w:sz w:val="20"/>
          <w:szCs w:val="20"/>
        </w:rPr>
        <w:t>The skills that are “21</w:t>
      </w:r>
      <w:r w:rsidRPr="00E83E53">
        <w:rPr>
          <w:sz w:val="20"/>
          <w:szCs w:val="20"/>
          <w:vertAlign w:val="superscript"/>
        </w:rPr>
        <w:t>st</w:t>
      </w:r>
      <w:r w:rsidRPr="00E83E53">
        <w:rPr>
          <w:sz w:val="20"/>
          <w:szCs w:val="20"/>
        </w:rPr>
        <w:t xml:space="preserve"> Century”</w:t>
      </w:r>
      <w:r w:rsidR="003359CB">
        <w:rPr>
          <w:sz w:val="20"/>
          <w:szCs w:val="20"/>
        </w:rPr>
        <w:t xml:space="preserve">  </w:t>
      </w:r>
      <w:r w:rsidR="003359CB" w:rsidRPr="00E83E53">
        <w:rPr>
          <w:rFonts w:cstheme="minorHAnsi"/>
          <w:sz w:val="20"/>
          <w:szCs w:val="20"/>
        </w:rPr>
        <w:t>(Dean et al., 2010)</w:t>
      </w:r>
    </w:p>
    <w:p w:rsidR="00B87C97" w:rsidRPr="00E83E53" w:rsidRDefault="00B87C97" w:rsidP="00B87C97">
      <w:pPr>
        <w:pStyle w:val="ListParagraph"/>
        <w:numPr>
          <w:ilvl w:val="2"/>
          <w:numId w:val="1"/>
        </w:numPr>
        <w:rPr>
          <w:sz w:val="20"/>
          <w:szCs w:val="20"/>
        </w:rPr>
      </w:pPr>
      <w:r w:rsidRPr="00E83E53">
        <w:rPr>
          <w:sz w:val="20"/>
          <w:szCs w:val="20"/>
        </w:rPr>
        <w:t>Critical Thinking and Problem Solving</w:t>
      </w:r>
    </w:p>
    <w:p w:rsidR="00B87C97" w:rsidRPr="00E83E53" w:rsidRDefault="00B87C97" w:rsidP="00B87C97">
      <w:pPr>
        <w:pStyle w:val="ListParagraph"/>
        <w:numPr>
          <w:ilvl w:val="2"/>
          <w:numId w:val="1"/>
        </w:numPr>
        <w:rPr>
          <w:sz w:val="20"/>
          <w:szCs w:val="20"/>
        </w:rPr>
      </w:pPr>
      <w:r w:rsidRPr="00E83E53">
        <w:rPr>
          <w:sz w:val="20"/>
          <w:szCs w:val="20"/>
        </w:rPr>
        <w:t>Communication</w:t>
      </w:r>
    </w:p>
    <w:p w:rsidR="00B87C97" w:rsidRPr="00E83E53" w:rsidRDefault="00B87C97" w:rsidP="00B87C97">
      <w:pPr>
        <w:pStyle w:val="ListParagraph"/>
        <w:numPr>
          <w:ilvl w:val="2"/>
          <w:numId w:val="1"/>
        </w:numPr>
        <w:rPr>
          <w:sz w:val="20"/>
          <w:szCs w:val="20"/>
        </w:rPr>
      </w:pPr>
      <w:r w:rsidRPr="00E83E53">
        <w:rPr>
          <w:sz w:val="20"/>
          <w:szCs w:val="20"/>
        </w:rPr>
        <w:t>Collaboration</w:t>
      </w:r>
    </w:p>
    <w:p w:rsidR="00B87C97" w:rsidRPr="00E83E53" w:rsidRDefault="00B87C97" w:rsidP="00B87C97">
      <w:pPr>
        <w:pStyle w:val="ListParagraph"/>
        <w:numPr>
          <w:ilvl w:val="2"/>
          <w:numId w:val="1"/>
        </w:numPr>
        <w:rPr>
          <w:sz w:val="20"/>
          <w:szCs w:val="20"/>
        </w:rPr>
      </w:pPr>
      <w:r w:rsidRPr="00E83E53">
        <w:rPr>
          <w:sz w:val="20"/>
          <w:szCs w:val="20"/>
        </w:rPr>
        <w:t>Creativity</w:t>
      </w:r>
    </w:p>
    <w:p w:rsidR="00B87C97" w:rsidRPr="00E83E53" w:rsidRDefault="00B87C97" w:rsidP="00B87C97">
      <w:pPr>
        <w:pStyle w:val="ListParagraph"/>
        <w:numPr>
          <w:ilvl w:val="2"/>
          <w:numId w:val="1"/>
        </w:numPr>
        <w:rPr>
          <w:sz w:val="20"/>
          <w:szCs w:val="20"/>
        </w:rPr>
      </w:pPr>
      <w:r w:rsidRPr="00E83E53">
        <w:rPr>
          <w:sz w:val="20"/>
          <w:szCs w:val="20"/>
        </w:rPr>
        <w:t>Innovation</w:t>
      </w:r>
    </w:p>
    <w:p w:rsidR="00B87C97" w:rsidRPr="00E83E53" w:rsidRDefault="00B87C97" w:rsidP="00B87C97">
      <w:pPr>
        <w:pStyle w:val="ListParagraph"/>
        <w:numPr>
          <w:ilvl w:val="2"/>
          <w:numId w:val="1"/>
        </w:numPr>
        <w:rPr>
          <w:sz w:val="20"/>
          <w:szCs w:val="20"/>
        </w:rPr>
      </w:pPr>
      <w:r w:rsidRPr="00E83E53">
        <w:rPr>
          <w:sz w:val="20"/>
          <w:szCs w:val="20"/>
        </w:rPr>
        <w:t>Information Literacy</w:t>
      </w:r>
    </w:p>
    <w:p w:rsidR="00B87C97" w:rsidRPr="00E83E53" w:rsidRDefault="00B87C97" w:rsidP="00B87C97">
      <w:pPr>
        <w:pStyle w:val="ListParagraph"/>
        <w:numPr>
          <w:ilvl w:val="2"/>
          <w:numId w:val="1"/>
        </w:numPr>
        <w:rPr>
          <w:sz w:val="20"/>
          <w:szCs w:val="20"/>
        </w:rPr>
      </w:pPr>
      <w:r w:rsidRPr="00E83E53">
        <w:rPr>
          <w:sz w:val="20"/>
          <w:szCs w:val="20"/>
        </w:rPr>
        <w:t>Media Literacy</w:t>
      </w:r>
    </w:p>
    <w:p w:rsidR="00B87C97" w:rsidRPr="00E83E53" w:rsidRDefault="00B87C97" w:rsidP="00B87C97">
      <w:pPr>
        <w:pStyle w:val="ListParagraph"/>
        <w:numPr>
          <w:ilvl w:val="2"/>
          <w:numId w:val="1"/>
        </w:numPr>
        <w:rPr>
          <w:sz w:val="20"/>
          <w:szCs w:val="20"/>
        </w:rPr>
      </w:pPr>
      <w:r w:rsidRPr="00E83E53">
        <w:rPr>
          <w:sz w:val="20"/>
          <w:szCs w:val="20"/>
        </w:rPr>
        <w:t>Information, Communication, and Technology Literacy</w:t>
      </w:r>
    </w:p>
    <w:p w:rsidR="00B87C97" w:rsidRPr="00E83E53" w:rsidRDefault="00B87C97" w:rsidP="00B87C97">
      <w:pPr>
        <w:pStyle w:val="ListParagraph"/>
        <w:numPr>
          <w:ilvl w:val="2"/>
          <w:numId w:val="1"/>
        </w:numPr>
        <w:rPr>
          <w:sz w:val="20"/>
          <w:szCs w:val="20"/>
        </w:rPr>
      </w:pPr>
      <w:r w:rsidRPr="00E83E53">
        <w:rPr>
          <w:sz w:val="20"/>
          <w:szCs w:val="20"/>
        </w:rPr>
        <w:t>Flexibility and Adaptability</w:t>
      </w:r>
    </w:p>
    <w:p w:rsidR="00B87C97" w:rsidRPr="00E83E53" w:rsidRDefault="00B87C97" w:rsidP="00B87C97">
      <w:pPr>
        <w:pStyle w:val="ListParagraph"/>
        <w:numPr>
          <w:ilvl w:val="2"/>
          <w:numId w:val="1"/>
        </w:numPr>
        <w:rPr>
          <w:sz w:val="20"/>
          <w:szCs w:val="20"/>
        </w:rPr>
      </w:pPr>
      <w:r w:rsidRPr="00E83E53">
        <w:rPr>
          <w:sz w:val="20"/>
          <w:szCs w:val="20"/>
        </w:rPr>
        <w:t>Initiative and Self-Direction</w:t>
      </w:r>
    </w:p>
    <w:p w:rsidR="00B87C97" w:rsidRPr="00E83E53" w:rsidRDefault="00B87C97" w:rsidP="00B87C97">
      <w:pPr>
        <w:pStyle w:val="ListParagraph"/>
        <w:numPr>
          <w:ilvl w:val="2"/>
          <w:numId w:val="1"/>
        </w:numPr>
        <w:rPr>
          <w:sz w:val="20"/>
          <w:szCs w:val="20"/>
        </w:rPr>
      </w:pPr>
      <w:r w:rsidRPr="00E83E53">
        <w:rPr>
          <w:sz w:val="20"/>
          <w:szCs w:val="20"/>
        </w:rPr>
        <w:t>Social and Cross-Cultural Skills</w:t>
      </w:r>
    </w:p>
    <w:p w:rsidR="00B87C97" w:rsidRPr="00E83E53" w:rsidRDefault="00B87C97" w:rsidP="00B87C97">
      <w:pPr>
        <w:pStyle w:val="ListParagraph"/>
        <w:numPr>
          <w:ilvl w:val="2"/>
          <w:numId w:val="1"/>
        </w:numPr>
        <w:rPr>
          <w:sz w:val="20"/>
          <w:szCs w:val="20"/>
        </w:rPr>
      </w:pPr>
      <w:r w:rsidRPr="00E83E53">
        <w:rPr>
          <w:sz w:val="20"/>
          <w:szCs w:val="20"/>
        </w:rPr>
        <w:t>Productivity and Accountability</w:t>
      </w:r>
    </w:p>
    <w:p w:rsidR="00B87C97" w:rsidRPr="00E83E53" w:rsidRDefault="00B87C97" w:rsidP="00B87C97">
      <w:pPr>
        <w:pStyle w:val="ListParagraph"/>
        <w:numPr>
          <w:ilvl w:val="2"/>
          <w:numId w:val="1"/>
        </w:numPr>
        <w:rPr>
          <w:sz w:val="20"/>
          <w:szCs w:val="20"/>
        </w:rPr>
      </w:pPr>
      <w:r w:rsidRPr="00E83E53">
        <w:rPr>
          <w:sz w:val="20"/>
          <w:szCs w:val="20"/>
        </w:rPr>
        <w:t>Leadership and Responsibility</w:t>
      </w:r>
    </w:p>
    <w:p w:rsidR="00B87C97" w:rsidRPr="00E83E53" w:rsidRDefault="00B87C97" w:rsidP="00B87C97">
      <w:pPr>
        <w:pStyle w:val="ListParagraph"/>
        <w:numPr>
          <w:ilvl w:val="2"/>
          <w:numId w:val="1"/>
        </w:numPr>
        <w:rPr>
          <w:sz w:val="20"/>
          <w:szCs w:val="20"/>
        </w:rPr>
      </w:pPr>
      <w:r w:rsidRPr="00E83E53">
        <w:rPr>
          <w:sz w:val="20"/>
          <w:szCs w:val="20"/>
        </w:rPr>
        <w:t>Interdisciplinary Themes</w:t>
      </w:r>
    </w:p>
    <w:p w:rsidR="00B87C97" w:rsidRPr="00E83E53" w:rsidRDefault="00B87C97" w:rsidP="00B87C97">
      <w:pPr>
        <w:pStyle w:val="ListParagraph"/>
        <w:numPr>
          <w:ilvl w:val="3"/>
          <w:numId w:val="1"/>
        </w:numPr>
        <w:rPr>
          <w:sz w:val="20"/>
          <w:szCs w:val="20"/>
        </w:rPr>
      </w:pPr>
      <w:r w:rsidRPr="00E83E53">
        <w:rPr>
          <w:sz w:val="20"/>
          <w:szCs w:val="20"/>
        </w:rPr>
        <w:t>Global Awareness</w:t>
      </w:r>
    </w:p>
    <w:p w:rsidR="00B87C97" w:rsidRPr="00E83E53" w:rsidRDefault="00B87C97" w:rsidP="00B87C97">
      <w:pPr>
        <w:pStyle w:val="ListParagraph"/>
        <w:numPr>
          <w:ilvl w:val="3"/>
          <w:numId w:val="1"/>
        </w:numPr>
        <w:rPr>
          <w:sz w:val="20"/>
          <w:szCs w:val="20"/>
        </w:rPr>
      </w:pPr>
      <w:r w:rsidRPr="00E83E53">
        <w:rPr>
          <w:sz w:val="20"/>
          <w:szCs w:val="20"/>
        </w:rPr>
        <w:t>Financial, Economic, Business and Entrepreneurial Literacy</w:t>
      </w:r>
    </w:p>
    <w:p w:rsidR="00B87C97" w:rsidRPr="00E83E53" w:rsidRDefault="00B87C97" w:rsidP="00B87C97">
      <w:pPr>
        <w:pStyle w:val="ListParagraph"/>
        <w:numPr>
          <w:ilvl w:val="3"/>
          <w:numId w:val="1"/>
        </w:numPr>
        <w:rPr>
          <w:sz w:val="20"/>
          <w:szCs w:val="20"/>
        </w:rPr>
      </w:pPr>
      <w:r w:rsidRPr="00E83E53">
        <w:rPr>
          <w:sz w:val="20"/>
          <w:szCs w:val="20"/>
        </w:rPr>
        <w:t>Civic Literacy</w:t>
      </w:r>
    </w:p>
    <w:p w:rsidR="00B87C97" w:rsidRPr="00E83E53" w:rsidRDefault="00B87C97" w:rsidP="00B87C97">
      <w:pPr>
        <w:pStyle w:val="ListParagraph"/>
        <w:numPr>
          <w:ilvl w:val="3"/>
          <w:numId w:val="1"/>
        </w:numPr>
        <w:rPr>
          <w:sz w:val="20"/>
          <w:szCs w:val="20"/>
        </w:rPr>
      </w:pPr>
      <w:r w:rsidRPr="00E83E53">
        <w:rPr>
          <w:sz w:val="20"/>
          <w:szCs w:val="20"/>
        </w:rPr>
        <w:t>Health Literacy</w:t>
      </w:r>
    </w:p>
    <w:p w:rsidR="00B87C97" w:rsidRPr="00E83E53" w:rsidRDefault="00B87C97" w:rsidP="00B87C97">
      <w:pPr>
        <w:pStyle w:val="ListParagraph"/>
        <w:numPr>
          <w:ilvl w:val="3"/>
          <w:numId w:val="1"/>
        </w:numPr>
        <w:rPr>
          <w:sz w:val="20"/>
          <w:szCs w:val="20"/>
        </w:rPr>
      </w:pPr>
      <w:r w:rsidRPr="00E83E53">
        <w:rPr>
          <w:sz w:val="20"/>
          <w:szCs w:val="20"/>
        </w:rPr>
        <w:t>Environmental Literacy</w:t>
      </w:r>
    </w:p>
    <w:p w:rsidR="003E5EF8" w:rsidRPr="00E83E53" w:rsidRDefault="003E5EF8" w:rsidP="003E5EF8">
      <w:pPr>
        <w:pStyle w:val="ListParagraph"/>
        <w:numPr>
          <w:ilvl w:val="0"/>
          <w:numId w:val="1"/>
        </w:numPr>
        <w:rPr>
          <w:rFonts w:cstheme="minorHAnsi"/>
          <w:sz w:val="20"/>
          <w:szCs w:val="20"/>
        </w:rPr>
      </w:pPr>
      <w:r w:rsidRPr="00E83E53">
        <w:rPr>
          <w:sz w:val="20"/>
          <w:szCs w:val="20"/>
        </w:rPr>
        <w:t>Wh</w:t>
      </w:r>
      <w:r w:rsidRPr="00E83E53">
        <w:rPr>
          <w:rFonts w:cstheme="minorHAnsi"/>
          <w:sz w:val="20"/>
          <w:szCs w:val="20"/>
        </w:rPr>
        <w:t>o</w:t>
      </w:r>
    </w:p>
    <w:p w:rsidR="00780DAE" w:rsidRPr="00E83E53" w:rsidRDefault="00780DAE" w:rsidP="003E5EF8">
      <w:pPr>
        <w:pStyle w:val="ListParagraph"/>
        <w:numPr>
          <w:ilvl w:val="1"/>
          <w:numId w:val="1"/>
        </w:numPr>
        <w:rPr>
          <w:rFonts w:cstheme="minorHAnsi"/>
          <w:sz w:val="20"/>
          <w:szCs w:val="20"/>
        </w:rPr>
      </w:pPr>
      <w:r w:rsidRPr="00E83E53">
        <w:rPr>
          <w:rFonts w:cstheme="minorHAnsi"/>
          <w:bCs/>
          <w:sz w:val="20"/>
          <w:szCs w:val="20"/>
        </w:rPr>
        <w:t xml:space="preserve">F. Robert </w:t>
      </w:r>
      <w:proofErr w:type="spellStart"/>
      <w:r w:rsidRPr="00E83E53">
        <w:rPr>
          <w:rFonts w:cstheme="minorHAnsi"/>
          <w:bCs/>
          <w:sz w:val="20"/>
          <w:szCs w:val="20"/>
        </w:rPr>
        <w:t>Sabol</w:t>
      </w:r>
      <w:proofErr w:type="spellEnd"/>
      <w:r w:rsidRPr="00E83E53">
        <w:rPr>
          <w:rFonts w:cstheme="minorHAnsi"/>
          <w:bCs/>
          <w:sz w:val="20"/>
          <w:szCs w:val="20"/>
        </w:rPr>
        <w:t xml:space="preserve"> and No Child Left Behind</w:t>
      </w:r>
      <w:r w:rsidR="00E83E53">
        <w:rPr>
          <w:rFonts w:cstheme="minorHAnsi"/>
          <w:bCs/>
          <w:sz w:val="20"/>
          <w:szCs w:val="20"/>
        </w:rPr>
        <w:t xml:space="preserve">  (</w:t>
      </w:r>
      <w:proofErr w:type="spellStart"/>
      <w:r w:rsidR="00E83E53">
        <w:rPr>
          <w:rFonts w:cstheme="minorHAnsi"/>
          <w:bCs/>
          <w:sz w:val="20"/>
          <w:szCs w:val="20"/>
        </w:rPr>
        <w:t>Sabol</w:t>
      </w:r>
      <w:proofErr w:type="spellEnd"/>
      <w:r w:rsidR="00E83E53">
        <w:rPr>
          <w:rFonts w:cstheme="minorHAnsi"/>
          <w:bCs/>
          <w:sz w:val="20"/>
          <w:szCs w:val="20"/>
        </w:rPr>
        <w:t>, 2010)</w:t>
      </w:r>
    </w:p>
    <w:p w:rsidR="003E5EF8" w:rsidRPr="00E83E53" w:rsidRDefault="003E5EF8" w:rsidP="003E5EF8">
      <w:pPr>
        <w:pStyle w:val="ListParagraph"/>
        <w:numPr>
          <w:ilvl w:val="1"/>
          <w:numId w:val="1"/>
        </w:numPr>
        <w:rPr>
          <w:sz w:val="20"/>
          <w:szCs w:val="20"/>
        </w:rPr>
      </w:pPr>
      <w:r w:rsidRPr="00E83E53">
        <w:rPr>
          <w:sz w:val="20"/>
          <w:szCs w:val="20"/>
        </w:rPr>
        <w:t>Commentaries for/against</w:t>
      </w:r>
    </w:p>
    <w:p w:rsidR="003E5EF8" w:rsidRPr="00F20827" w:rsidRDefault="003E5EF8" w:rsidP="00F20827">
      <w:pPr>
        <w:pStyle w:val="ListParagraph"/>
        <w:numPr>
          <w:ilvl w:val="0"/>
          <w:numId w:val="1"/>
        </w:numPr>
        <w:rPr>
          <w:sz w:val="20"/>
          <w:szCs w:val="20"/>
        </w:rPr>
      </w:pPr>
      <w:r w:rsidRPr="00E83E53">
        <w:rPr>
          <w:sz w:val="20"/>
          <w:szCs w:val="20"/>
        </w:rPr>
        <w:t>Teaching Applications</w:t>
      </w:r>
    </w:p>
    <w:p w:rsidR="008D074F" w:rsidRDefault="008D074F" w:rsidP="003E5EF8">
      <w:pPr>
        <w:pStyle w:val="ListParagraph"/>
        <w:numPr>
          <w:ilvl w:val="1"/>
          <w:numId w:val="1"/>
        </w:numPr>
        <w:rPr>
          <w:sz w:val="20"/>
          <w:szCs w:val="20"/>
        </w:rPr>
      </w:pPr>
      <w:r>
        <w:rPr>
          <w:sz w:val="20"/>
          <w:szCs w:val="20"/>
        </w:rPr>
        <w:t xml:space="preserve">Backward Design and Teaching for Understanding </w:t>
      </w:r>
      <w:r w:rsidR="00984C66">
        <w:rPr>
          <w:sz w:val="20"/>
          <w:szCs w:val="20"/>
        </w:rPr>
        <w:t xml:space="preserve"> (</w:t>
      </w:r>
      <w:proofErr w:type="spellStart"/>
      <w:r w:rsidR="00984C66">
        <w:rPr>
          <w:sz w:val="20"/>
          <w:szCs w:val="20"/>
        </w:rPr>
        <w:t>McTighe</w:t>
      </w:r>
      <w:proofErr w:type="spellEnd"/>
      <w:r w:rsidR="00984C66">
        <w:rPr>
          <w:sz w:val="20"/>
          <w:szCs w:val="20"/>
        </w:rPr>
        <w:t xml:space="preserve"> &amp; Wiggins, 2005)</w:t>
      </w:r>
    </w:p>
    <w:p w:rsidR="00367A13" w:rsidRPr="00E83E53" w:rsidRDefault="00367A13" w:rsidP="003E5EF8">
      <w:pPr>
        <w:pStyle w:val="ListParagraph"/>
        <w:numPr>
          <w:ilvl w:val="1"/>
          <w:numId w:val="1"/>
        </w:numPr>
        <w:rPr>
          <w:sz w:val="20"/>
          <w:szCs w:val="20"/>
        </w:rPr>
      </w:pPr>
      <w:r>
        <w:rPr>
          <w:sz w:val="20"/>
          <w:szCs w:val="20"/>
        </w:rPr>
        <w:t>The Project Learning Bicycle</w:t>
      </w:r>
      <w:r w:rsidR="00B87C97">
        <w:rPr>
          <w:sz w:val="20"/>
          <w:szCs w:val="20"/>
        </w:rPr>
        <w:t xml:space="preserve">  (</w:t>
      </w:r>
      <w:proofErr w:type="spellStart"/>
      <w:r w:rsidR="00B87C97">
        <w:rPr>
          <w:sz w:val="20"/>
          <w:szCs w:val="20"/>
        </w:rPr>
        <w:t>Fadel</w:t>
      </w:r>
      <w:proofErr w:type="spellEnd"/>
      <w:r w:rsidR="00B87C97">
        <w:rPr>
          <w:sz w:val="20"/>
          <w:szCs w:val="20"/>
        </w:rPr>
        <w:t xml:space="preserve"> &amp; Trilling, 2009)</w:t>
      </w:r>
    </w:p>
    <w:p w:rsidR="00E83E53" w:rsidRPr="00E83E53" w:rsidRDefault="00A51110" w:rsidP="00E83E53">
      <w:pPr>
        <w:pStyle w:val="ListParagraph"/>
        <w:numPr>
          <w:ilvl w:val="1"/>
          <w:numId w:val="1"/>
        </w:numPr>
        <w:rPr>
          <w:sz w:val="20"/>
          <w:szCs w:val="20"/>
        </w:rPr>
      </w:pPr>
      <w:r w:rsidRPr="00E83E53">
        <w:rPr>
          <w:sz w:val="20"/>
          <w:szCs w:val="20"/>
        </w:rPr>
        <w:t>Leslie Moore’s experience with classroom engagement</w:t>
      </w:r>
      <w:r w:rsidR="00EF6B7B" w:rsidRPr="00E83E53">
        <w:rPr>
          <w:sz w:val="20"/>
          <w:szCs w:val="20"/>
        </w:rPr>
        <w:t xml:space="preserve">  (Moore, 2010)</w:t>
      </w:r>
    </w:p>
    <w:p w:rsidR="00F20827" w:rsidRDefault="00F20827">
      <w:pPr>
        <w:rPr>
          <w:sz w:val="20"/>
          <w:szCs w:val="20"/>
        </w:rPr>
      </w:pPr>
      <w:r>
        <w:rPr>
          <w:sz w:val="20"/>
          <w:szCs w:val="20"/>
        </w:rPr>
        <w:br w:type="page"/>
      </w:r>
    </w:p>
    <w:p w:rsidR="00AD0789" w:rsidRPr="00B87C97" w:rsidRDefault="00AD0789" w:rsidP="00AD0789">
      <w:pPr>
        <w:jc w:val="center"/>
        <w:rPr>
          <w:sz w:val="20"/>
          <w:szCs w:val="20"/>
        </w:rPr>
      </w:pPr>
      <w:r w:rsidRPr="00B87C97">
        <w:rPr>
          <w:sz w:val="20"/>
          <w:szCs w:val="20"/>
        </w:rPr>
        <w:lastRenderedPageBreak/>
        <w:t>References</w:t>
      </w:r>
    </w:p>
    <w:p w:rsidR="00836967" w:rsidRPr="00B87C97" w:rsidRDefault="00836967" w:rsidP="00E00CAB">
      <w:pPr>
        <w:ind w:left="720" w:hanging="720"/>
        <w:rPr>
          <w:sz w:val="20"/>
          <w:szCs w:val="20"/>
        </w:rPr>
      </w:pPr>
      <w:proofErr w:type="gramStart"/>
      <w:r w:rsidRPr="00B87C97">
        <w:rPr>
          <w:sz w:val="20"/>
          <w:szCs w:val="20"/>
        </w:rPr>
        <w:t xml:space="preserve">Dean, C., Ebert, C. M. L., McGreevy-Nichols, S., Quinn, B., </w:t>
      </w:r>
      <w:proofErr w:type="spellStart"/>
      <w:r w:rsidRPr="00B87C97">
        <w:rPr>
          <w:sz w:val="20"/>
          <w:szCs w:val="20"/>
        </w:rPr>
        <w:t>Sabol</w:t>
      </w:r>
      <w:proofErr w:type="spellEnd"/>
      <w:r w:rsidRPr="00B87C97">
        <w:rPr>
          <w:sz w:val="20"/>
          <w:szCs w:val="20"/>
        </w:rPr>
        <w:t xml:space="preserve">, F. R., </w:t>
      </w:r>
      <w:proofErr w:type="spellStart"/>
      <w:r w:rsidRPr="00B87C97">
        <w:rPr>
          <w:sz w:val="20"/>
          <w:szCs w:val="20"/>
        </w:rPr>
        <w:t>Schmid</w:t>
      </w:r>
      <w:proofErr w:type="spellEnd"/>
      <w:r w:rsidRPr="00B87C97">
        <w:rPr>
          <w:sz w:val="20"/>
          <w:szCs w:val="20"/>
        </w:rPr>
        <w:t xml:space="preserve">, D., </w:t>
      </w:r>
      <w:proofErr w:type="spellStart"/>
      <w:r w:rsidRPr="00B87C97">
        <w:rPr>
          <w:sz w:val="20"/>
          <w:szCs w:val="20"/>
        </w:rPr>
        <w:t>Shauck</w:t>
      </w:r>
      <w:proofErr w:type="spellEnd"/>
      <w:r w:rsidRPr="00B87C97">
        <w:rPr>
          <w:sz w:val="20"/>
          <w:szCs w:val="20"/>
        </w:rPr>
        <w:t>, R. B., &amp; Schuler, S. C. (2010).</w:t>
      </w:r>
      <w:proofErr w:type="gramEnd"/>
      <w:r w:rsidRPr="00B87C97">
        <w:rPr>
          <w:sz w:val="20"/>
          <w:szCs w:val="20"/>
        </w:rPr>
        <w:t xml:space="preserve"> </w:t>
      </w:r>
      <w:r w:rsidRPr="00B87C97">
        <w:rPr>
          <w:i/>
          <w:sz w:val="20"/>
          <w:szCs w:val="20"/>
        </w:rPr>
        <w:t xml:space="preserve"> 21</w:t>
      </w:r>
      <w:r w:rsidRPr="00B87C97">
        <w:rPr>
          <w:i/>
          <w:sz w:val="20"/>
          <w:szCs w:val="20"/>
          <w:vertAlign w:val="superscript"/>
        </w:rPr>
        <w:t>st</w:t>
      </w:r>
      <w:r w:rsidRPr="00B87C97">
        <w:rPr>
          <w:i/>
          <w:sz w:val="20"/>
          <w:szCs w:val="20"/>
        </w:rPr>
        <w:t xml:space="preserve"> century skills map: The arts. </w:t>
      </w:r>
      <w:r w:rsidRPr="00B87C97">
        <w:rPr>
          <w:sz w:val="20"/>
          <w:szCs w:val="20"/>
        </w:rPr>
        <w:t>Tucson, AZ: Partnership for 21</w:t>
      </w:r>
      <w:r w:rsidRPr="00B87C97">
        <w:rPr>
          <w:sz w:val="20"/>
          <w:szCs w:val="20"/>
          <w:vertAlign w:val="superscript"/>
        </w:rPr>
        <w:t>st</w:t>
      </w:r>
      <w:r w:rsidRPr="00B87C97">
        <w:rPr>
          <w:sz w:val="20"/>
          <w:szCs w:val="20"/>
        </w:rPr>
        <w:t xml:space="preserve"> Century Skills.</w:t>
      </w:r>
    </w:p>
    <w:p w:rsidR="00B87C97" w:rsidRPr="00B87C97" w:rsidRDefault="00B87C97" w:rsidP="00E00CAB">
      <w:pPr>
        <w:ind w:left="720" w:hanging="720"/>
        <w:rPr>
          <w:sz w:val="20"/>
          <w:szCs w:val="20"/>
        </w:rPr>
      </w:pPr>
      <w:proofErr w:type="spellStart"/>
      <w:proofErr w:type="gramStart"/>
      <w:r>
        <w:rPr>
          <w:sz w:val="20"/>
          <w:szCs w:val="20"/>
        </w:rPr>
        <w:t>Fadel</w:t>
      </w:r>
      <w:proofErr w:type="spellEnd"/>
      <w:r>
        <w:rPr>
          <w:sz w:val="20"/>
          <w:szCs w:val="20"/>
        </w:rPr>
        <w:t>, C., &amp; Trilling, B. (2009).</w:t>
      </w:r>
      <w:proofErr w:type="gramEnd"/>
      <w:r>
        <w:rPr>
          <w:sz w:val="20"/>
          <w:szCs w:val="20"/>
        </w:rPr>
        <w:t xml:space="preserve"> </w:t>
      </w:r>
      <w:r>
        <w:rPr>
          <w:i/>
          <w:sz w:val="20"/>
          <w:szCs w:val="20"/>
        </w:rPr>
        <w:t>21</w:t>
      </w:r>
      <w:r w:rsidRPr="00B87C97">
        <w:rPr>
          <w:i/>
          <w:sz w:val="20"/>
          <w:szCs w:val="20"/>
          <w:vertAlign w:val="superscript"/>
        </w:rPr>
        <w:t>st</w:t>
      </w:r>
      <w:r>
        <w:rPr>
          <w:i/>
          <w:sz w:val="20"/>
          <w:szCs w:val="20"/>
        </w:rPr>
        <w:t xml:space="preserve"> century skills: Learning for life in our times. </w:t>
      </w:r>
      <w:r>
        <w:rPr>
          <w:sz w:val="20"/>
          <w:szCs w:val="20"/>
        </w:rPr>
        <w:t xml:space="preserve">San Francisco, CA: </w:t>
      </w:r>
      <w:proofErr w:type="spellStart"/>
      <w:r>
        <w:rPr>
          <w:sz w:val="20"/>
          <w:szCs w:val="20"/>
        </w:rPr>
        <w:t>Jossey</w:t>
      </w:r>
      <w:proofErr w:type="spellEnd"/>
      <w:r>
        <w:rPr>
          <w:sz w:val="20"/>
          <w:szCs w:val="20"/>
        </w:rPr>
        <w:t>-Bass.</w:t>
      </w:r>
    </w:p>
    <w:p w:rsidR="00917412" w:rsidRPr="00B87C97" w:rsidRDefault="00917412" w:rsidP="00917412">
      <w:pPr>
        <w:ind w:left="720" w:hanging="720"/>
        <w:rPr>
          <w:sz w:val="20"/>
          <w:szCs w:val="20"/>
        </w:rPr>
      </w:pPr>
      <w:proofErr w:type="spellStart"/>
      <w:proofErr w:type="gramStart"/>
      <w:r w:rsidRPr="008D074F">
        <w:rPr>
          <w:sz w:val="20"/>
          <w:szCs w:val="20"/>
        </w:rPr>
        <w:t>McTighe</w:t>
      </w:r>
      <w:proofErr w:type="spellEnd"/>
      <w:r>
        <w:rPr>
          <w:sz w:val="20"/>
          <w:szCs w:val="20"/>
        </w:rPr>
        <w:t xml:space="preserve">, J., and </w:t>
      </w:r>
      <w:r w:rsidRPr="008D074F">
        <w:rPr>
          <w:sz w:val="20"/>
          <w:szCs w:val="20"/>
        </w:rPr>
        <w:t>Wiggins</w:t>
      </w:r>
      <w:r>
        <w:rPr>
          <w:sz w:val="20"/>
          <w:szCs w:val="20"/>
        </w:rPr>
        <w:t>, G.</w:t>
      </w:r>
      <w:r w:rsidRPr="008D074F">
        <w:rPr>
          <w:sz w:val="20"/>
          <w:szCs w:val="20"/>
        </w:rPr>
        <w:t xml:space="preserve"> (200</w:t>
      </w:r>
      <w:r>
        <w:rPr>
          <w:sz w:val="20"/>
          <w:szCs w:val="20"/>
        </w:rPr>
        <w:t>5</w:t>
      </w:r>
      <w:r w:rsidRPr="008D074F">
        <w:rPr>
          <w:sz w:val="20"/>
          <w:szCs w:val="20"/>
        </w:rPr>
        <w:t>).</w:t>
      </w:r>
      <w:proofErr w:type="gramEnd"/>
      <w:r w:rsidRPr="008D074F">
        <w:rPr>
          <w:sz w:val="20"/>
          <w:szCs w:val="20"/>
        </w:rPr>
        <w:t xml:space="preserve"> </w:t>
      </w:r>
      <w:proofErr w:type="gramStart"/>
      <w:r>
        <w:rPr>
          <w:i/>
          <w:sz w:val="20"/>
          <w:szCs w:val="20"/>
        </w:rPr>
        <w:t>Understanding by d</w:t>
      </w:r>
      <w:r w:rsidRPr="00F20827">
        <w:rPr>
          <w:i/>
          <w:sz w:val="20"/>
          <w:szCs w:val="20"/>
        </w:rPr>
        <w:t>esign</w:t>
      </w:r>
      <w:r w:rsidRPr="008D074F">
        <w:rPr>
          <w:sz w:val="20"/>
          <w:szCs w:val="20"/>
        </w:rPr>
        <w:t>.</w:t>
      </w:r>
      <w:proofErr w:type="gramEnd"/>
      <w:r w:rsidRPr="008D074F">
        <w:rPr>
          <w:sz w:val="20"/>
          <w:szCs w:val="20"/>
        </w:rPr>
        <w:t xml:space="preserve"> </w:t>
      </w:r>
      <w:r>
        <w:rPr>
          <w:sz w:val="20"/>
          <w:szCs w:val="20"/>
        </w:rPr>
        <w:t>Alexandria, VA: Association for Supervision and Curriculum Development.</w:t>
      </w:r>
    </w:p>
    <w:p w:rsidR="00E00CAB" w:rsidRPr="00B87C97" w:rsidRDefault="00E00CAB" w:rsidP="00E00CAB">
      <w:pPr>
        <w:ind w:left="720" w:hanging="720"/>
        <w:rPr>
          <w:sz w:val="20"/>
          <w:szCs w:val="20"/>
        </w:rPr>
      </w:pPr>
      <w:r w:rsidRPr="00B87C97">
        <w:rPr>
          <w:sz w:val="20"/>
          <w:szCs w:val="20"/>
        </w:rPr>
        <w:t xml:space="preserve">Moore, L. (2010, July). </w:t>
      </w:r>
      <w:proofErr w:type="gramStart"/>
      <w:r w:rsidRPr="00B87C97">
        <w:rPr>
          <w:i/>
          <w:sz w:val="20"/>
          <w:szCs w:val="20"/>
        </w:rPr>
        <w:t>Testimony by Leslie Moore for arts map</w:t>
      </w:r>
      <w:proofErr w:type="gramEnd"/>
      <w:r w:rsidRPr="00B87C97">
        <w:rPr>
          <w:i/>
          <w:sz w:val="20"/>
          <w:szCs w:val="20"/>
        </w:rPr>
        <w:t xml:space="preserve"> release July 2010. </w:t>
      </w:r>
      <w:r w:rsidRPr="00B87C97">
        <w:rPr>
          <w:sz w:val="20"/>
          <w:szCs w:val="20"/>
        </w:rPr>
        <w:t>Testimony presented at release of 21</w:t>
      </w:r>
      <w:r w:rsidRPr="00B87C97">
        <w:rPr>
          <w:sz w:val="20"/>
          <w:szCs w:val="20"/>
          <w:vertAlign w:val="superscript"/>
        </w:rPr>
        <w:t>st</w:t>
      </w:r>
      <w:r w:rsidRPr="00B87C97">
        <w:rPr>
          <w:sz w:val="20"/>
          <w:szCs w:val="20"/>
        </w:rPr>
        <w:t xml:space="preserve"> Century Skills Arts Map before the Senate HELP Committee, Capitol Hill. Retrieved from: http://www.arteducators.org/research/Testimony_by_Leslie_Moore_for_Arts_Map_Release_July_2010.pdf</w:t>
      </w:r>
    </w:p>
    <w:p w:rsidR="00AD0789" w:rsidRPr="00B87C97" w:rsidRDefault="00AD0789" w:rsidP="00AD0789">
      <w:pPr>
        <w:ind w:left="720" w:hanging="720"/>
        <w:rPr>
          <w:sz w:val="20"/>
          <w:szCs w:val="20"/>
        </w:rPr>
      </w:pPr>
      <w:proofErr w:type="gramStart"/>
      <w:r w:rsidRPr="00B87C97">
        <w:rPr>
          <w:sz w:val="20"/>
          <w:szCs w:val="20"/>
        </w:rPr>
        <w:t>Partnership for 21st Century Skills.</w:t>
      </w:r>
      <w:proofErr w:type="gramEnd"/>
      <w:r w:rsidRPr="00B87C97">
        <w:rPr>
          <w:sz w:val="20"/>
          <w:szCs w:val="20"/>
        </w:rPr>
        <w:t xml:space="preserve"> </w:t>
      </w:r>
      <w:proofErr w:type="gramStart"/>
      <w:r w:rsidRPr="00B87C97">
        <w:rPr>
          <w:sz w:val="20"/>
          <w:szCs w:val="20"/>
        </w:rPr>
        <w:t xml:space="preserve">(2011). </w:t>
      </w:r>
      <w:r w:rsidRPr="00B87C97">
        <w:rPr>
          <w:i/>
          <w:sz w:val="20"/>
          <w:szCs w:val="20"/>
        </w:rPr>
        <w:t>Framework for 21</w:t>
      </w:r>
      <w:r w:rsidRPr="00B87C97">
        <w:rPr>
          <w:i/>
          <w:sz w:val="20"/>
          <w:szCs w:val="20"/>
          <w:vertAlign w:val="superscript"/>
        </w:rPr>
        <w:t>st</w:t>
      </w:r>
      <w:r w:rsidRPr="00B87C97">
        <w:rPr>
          <w:i/>
          <w:sz w:val="20"/>
          <w:szCs w:val="20"/>
        </w:rPr>
        <w:t xml:space="preserve"> century learning.</w:t>
      </w:r>
      <w:proofErr w:type="gramEnd"/>
      <w:r w:rsidRPr="00B87C97">
        <w:rPr>
          <w:i/>
          <w:sz w:val="20"/>
          <w:szCs w:val="20"/>
        </w:rPr>
        <w:t xml:space="preserve"> </w:t>
      </w:r>
      <w:r w:rsidRPr="00B87C97">
        <w:rPr>
          <w:sz w:val="20"/>
          <w:szCs w:val="20"/>
        </w:rPr>
        <w:t>Retrieved from: http://www.p21.org/storage/documents/1.__p21_framework_2-pager.pdf</w:t>
      </w:r>
    </w:p>
    <w:p w:rsidR="00481DD6" w:rsidRDefault="00481DD6" w:rsidP="00293184">
      <w:pPr>
        <w:ind w:left="720" w:hanging="720"/>
        <w:rPr>
          <w:sz w:val="20"/>
          <w:szCs w:val="20"/>
        </w:rPr>
      </w:pPr>
      <w:proofErr w:type="spellStart"/>
      <w:r w:rsidRPr="00B87C97">
        <w:rPr>
          <w:sz w:val="20"/>
          <w:szCs w:val="20"/>
        </w:rPr>
        <w:t>Sabol</w:t>
      </w:r>
      <w:proofErr w:type="spellEnd"/>
      <w:r w:rsidRPr="00B87C97">
        <w:rPr>
          <w:sz w:val="20"/>
          <w:szCs w:val="20"/>
        </w:rPr>
        <w:t xml:space="preserve">, F. R. (2010). </w:t>
      </w:r>
      <w:r w:rsidRPr="00B87C97">
        <w:rPr>
          <w:i/>
          <w:sz w:val="20"/>
          <w:szCs w:val="20"/>
        </w:rPr>
        <w:t xml:space="preserve">No child left behind: A study of its impact on art education </w:t>
      </w:r>
      <w:r w:rsidRPr="00B87C97">
        <w:rPr>
          <w:sz w:val="20"/>
          <w:szCs w:val="20"/>
        </w:rPr>
        <w:t>(NAEA Report). Retrieved from National Art Education Association website: http://www.arteducators.org/research/NCLB_Proj_Report_2-10.pdf</w:t>
      </w:r>
    </w:p>
    <w:p w:rsidR="00AD0789" w:rsidRPr="00AD0789" w:rsidRDefault="00AD0789" w:rsidP="00AD0789">
      <w:pPr>
        <w:ind w:left="720" w:hanging="720"/>
      </w:pPr>
    </w:p>
    <w:sectPr w:rsidR="00AD0789" w:rsidRPr="00AD0789" w:rsidSect="00DE1B2A">
      <w:headerReference w:type="default" r:id="rId8"/>
      <w:headerReference w:type="firs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2C09" w:rsidRDefault="00652C09" w:rsidP="0041768A">
      <w:pPr>
        <w:spacing w:after="0" w:line="240" w:lineRule="auto"/>
      </w:pPr>
      <w:r>
        <w:separator/>
      </w:r>
    </w:p>
  </w:endnote>
  <w:endnote w:type="continuationSeparator" w:id="0">
    <w:p w:rsidR="00652C09" w:rsidRDefault="00652C09" w:rsidP="004176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illSans">
    <w:altName w:val="GillSan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2C09" w:rsidRDefault="00652C09" w:rsidP="0041768A">
      <w:pPr>
        <w:spacing w:after="0" w:line="240" w:lineRule="auto"/>
      </w:pPr>
      <w:r>
        <w:separator/>
      </w:r>
    </w:p>
  </w:footnote>
  <w:footnote w:type="continuationSeparator" w:id="0">
    <w:p w:rsidR="00652C09" w:rsidRDefault="00652C09" w:rsidP="004176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68A" w:rsidRPr="00CD58EC" w:rsidRDefault="0041768A" w:rsidP="00DE1B2A">
    <w:pPr>
      <w:pStyle w:val="Header"/>
      <w:jc w:val="right"/>
      <w:rPr>
        <w:sz w:val="20"/>
        <w:szCs w:val="20"/>
      </w:rPr>
    </w:pPr>
    <w:proofErr w:type="gramStart"/>
    <w:r w:rsidRPr="00CD58EC">
      <w:rPr>
        <w:sz w:val="20"/>
        <w:szCs w:val="20"/>
      </w:rPr>
      <w:t>by</w:t>
    </w:r>
    <w:proofErr w:type="gramEnd"/>
    <w:r w:rsidRPr="00CD58EC">
      <w:rPr>
        <w:sz w:val="20"/>
        <w:szCs w:val="20"/>
      </w:rPr>
      <w:t xml:space="preserve"> </w:t>
    </w:r>
    <w:r w:rsidRPr="00CD58EC">
      <w:rPr>
        <w:b/>
        <w:sz w:val="20"/>
        <w:szCs w:val="20"/>
      </w:rPr>
      <w:t>Vincent Tabor</w:t>
    </w:r>
  </w:p>
  <w:p w:rsidR="0041768A" w:rsidRPr="00CD58EC" w:rsidRDefault="0041768A" w:rsidP="0041768A">
    <w:pPr>
      <w:pStyle w:val="Header"/>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B2A" w:rsidRPr="00CD58EC" w:rsidRDefault="00DE1B2A" w:rsidP="00DE1B2A">
    <w:pPr>
      <w:pStyle w:val="Header"/>
      <w:rPr>
        <w:sz w:val="20"/>
        <w:szCs w:val="20"/>
      </w:rPr>
    </w:pPr>
    <w:r w:rsidRPr="00CD58EC">
      <w:rPr>
        <w:sz w:val="20"/>
        <w:szCs w:val="20"/>
      </w:rPr>
      <w:t xml:space="preserve">Topic:  </w:t>
    </w:r>
    <w:r w:rsidRPr="00CD58EC">
      <w:rPr>
        <w:i/>
        <w:sz w:val="20"/>
        <w:szCs w:val="20"/>
      </w:rPr>
      <w:t>21</w:t>
    </w:r>
    <w:r w:rsidRPr="00CD58EC">
      <w:rPr>
        <w:i/>
        <w:sz w:val="20"/>
        <w:szCs w:val="20"/>
        <w:vertAlign w:val="superscript"/>
      </w:rPr>
      <w:t>st</w:t>
    </w:r>
    <w:r w:rsidRPr="00CD58EC">
      <w:rPr>
        <w:i/>
        <w:sz w:val="20"/>
        <w:szCs w:val="20"/>
      </w:rPr>
      <w:t xml:space="preserve"> Century Skills</w:t>
    </w:r>
    <w:r w:rsidRPr="00CD58EC">
      <w:rPr>
        <w:sz w:val="20"/>
        <w:szCs w:val="20"/>
      </w:rPr>
      <w:tab/>
    </w:r>
    <w:r w:rsidRPr="00CD58EC">
      <w:rPr>
        <w:b/>
        <w:sz w:val="20"/>
        <w:szCs w:val="20"/>
      </w:rPr>
      <w:t>Pedagogy Project Outline</w:t>
    </w:r>
    <w:r w:rsidRPr="00CD58EC">
      <w:rPr>
        <w:sz w:val="20"/>
        <w:szCs w:val="20"/>
      </w:rPr>
      <w:tab/>
      <w:t xml:space="preserve">by </w:t>
    </w:r>
    <w:r w:rsidRPr="00CD58EC">
      <w:rPr>
        <w:b/>
        <w:sz w:val="20"/>
        <w:szCs w:val="20"/>
      </w:rPr>
      <w:t>Vincent Tabor</w:t>
    </w:r>
  </w:p>
  <w:p w:rsidR="00DE1B2A" w:rsidRPr="00CD58EC" w:rsidRDefault="00DE1B2A" w:rsidP="00DE1B2A">
    <w:pPr>
      <w:pStyle w:val="Header"/>
      <w:jc w:val="right"/>
      <w:rPr>
        <w:sz w:val="20"/>
        <w:szCs w:val="20"/>
      </w:rPr>
    </w:pPr>
    <w:r w:rsidRPr="00CD58EC">
      <w:rPr>
        <w:sz w:val="20"/>
        <w:szCs w:val="20"/>
      </w:rPr>
      <w:t>July 2, 2012</w:t>
    </w:r>
  </w:p>
  <w:p w:rsidR="00DE1B2A" w:rsidRDefault="00DE1B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A54FC"/>
    <w:multiLevelType w:val="hybridMultilevel"/>
    <w:tmpl w:val="39F6FB20"/>
    <w:lvl w:ilvl="0" w:tplc="F9722A9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FFF4AFA"/>
    <w:multiLevelType w:val="hybridMultilevel"/>
    <w:tmpl w:val="2CE8248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EF8"/>
    <w:rsid w:val="00097143"/>
    <w:rsid w:val="000E7A11"/>
    <w:rsid w:val="001C0FC7"/>
    <w:rsid w:val="00293184"/>
    <w:rsid w:val="0030145B"/>
    <w:rsid w:val="0033497A"/>
    <w:rsid w:val="003359CB"/>
    <w:rsid w:val="00367A13"/>
    <w:rsid w:val="003E5EF8"/>
    <w:rsid w:val="0041768A"/>
    <w:rsid w:val="00481DD6"/>
    <w:rsid w:val="00652C09"/>
    <w:rsid w:val="00780DAE"/>
    <w:rsid w:val="00836967"/>
    <w:rsid w:val="008650E8"/>
    <w:rsid w:val="008D074F"/>
    <w:rsid w:val="00917412"/>
    <w:rsid w:val="00984C66"/>
    <w:rsid w:val="00A51110"/>
    <w:rsid w:val="00AC529E"/>
    <w:rsid w:val="00AD0789"/>
    <w:rsid w:val="00B87C97"/>
    <w:rsid w:val="00C0571F"/>
    <w:rsid w:val="00CD58EC"/>
    <w:rsid w:val="00CD5B4B"/>
    <w:rsid w:val="00DE1B2A"/>
    <w:rsid w:val="00E00CAB"/>
    <w:rsid w:val="00E83E53"/>
    <w:rsid w:val="00EF6B7B"/>
    <w:rsid w:val="00F20827"/>
    <w:rsid w:val="00FD08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5EF8"/>
    <w:pPr>
      <w:ind w:left="720"/>
      <w:contextualSpacing/>
    </w:pPr>
  </w:style>
  <w:style w:type="paragraph" w:styleId="Header">
    <w:name w:val="header"/>
    <w:basedOn w:val="Normal"/>
    <w:link w:val="HeaderChar"/>
    <w:uiPriority w:val="99"/>
    <w:unhideWhenUsed/>
    <w:rsid w:val="004176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768A"/>
  </w:style>
  <w:style w:type="paragraph" w:styleId="Footer">
    <w:name w:val="footer"/>
    <w:basedOn w:val="Normal"/>
    <w:link w:val="FooterChar"/>
    <w:uiPriority w:val="99"/>
    <w:unhideWhenUsed/>
    <w:rsid w:val="004176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768A"/>
  </w:style>
  <w:style w:type="paragraph" w:customStyle="1" w:styleId="Default">
    <w:name w:val="Default"/>
    <w:rsid w:val="001C0FC7"/>
    <w:pPr>
      <w:autoSpaceDE w:val="0"/>
      <w:autoSpaceDN w:val="0"/>
      <w:adjustRightInd w:val="0"/>
      <w:spacing w:after="0" w:line="240" w:lineRule="auto"/>
    </w:pPr>
    <w:rPr>
      <w:rFonts w:ascii="GillSans" w:hAnsi="GillSans" w:cs="GillSan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5EF8"/>
    <w:pPr>
      <w:ind w:left="720"/>
      <w:contextualSpacing/>
    </w:pPr>
  </w:style>
  <w:style w:type="paragraph" w:styleId="Header">
    <w:name w:val="header"/>
    <w:basedOn w:val="Normal"/>
    <w:link w:val="HeaderChar"/>
    <w:uiPriority w:val="99"/>
    <w:unhideWhenUsed/>
    <w:rsid w:val="004176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768A"/>
  </w:style>
  <w:style w:type="paragraph" w:styleId="Footer">
    <w:name w:val="footer"/>
    <w:basedOn w:val="Normal"/>
    <w:link w:val="FooterChar"/>
    <w:uiPriority w:val="99"/>
    <w:unhideWhenUsed/>
    <w:rsid w:val="004176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768A"/>
  </w:style>
  <w:style w:type="paragraph" w:customStyle="1" w:styleId="Default">
    <w:name w:val="Default"/>
    <w:rsid w:val="001C0FC7"/>
    <w:pPr>
      <w:autoSpaceDE w:val="0"/>
      <w:autoSpaceDN w:val="0"/>
      <w:adjustRightInd w:val="0"/>
      <w:spacing w:after="0" w:line="240" w:lineRule="auto"/>
    </w:pPr>
    <w:rPr>
      <w:rFonts w:ascii="GillSans" w:hAnsi="GillSans" w:cs="GillSan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322</TotalTime>
  <Pages>2</Pages>
  <Words>435</Words>
  <Characters>2481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Vincent</dc:creator>
  <cp:lastModifiedBy>Vincent</cp:lastModifiedBy>
  <cp:revision>16</cp:revision>
  <dcterms:created xsi:type="dcterms:W3CDTF">2012-07-01T16:41:00Z</dcterms:created>
  <dcterms:modified xsi:type="dcterms:W3CDTF">2012-07-02T16:42:00Z</dcterms:modified>
</cp:coreProperties>
</file>